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BF" w:rsidRPr="00F51F64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F51F64">
        <w:rPr>
          <w:rFonts w:ascii="標楷體" w:eastAsia="標楷體" w:hint="eastAsia"/>
          <w:sz w:val="36"/>
          <w:szCs w:val="36"/>
        </w:rPr>
        <w:t xml:space="preserve">國立屏東科技大學　</w:t>
      </w:r>
      <w:r w:rsidRPr="00F51F64">
        <w:rPr>
          <w:rFonts w:ascii="標楷體" w:eastAsia="標楷體" w:hint="eastAsia"/>
          <w:b/>
          <w:bCs/>
          <w:sz w:val="36"/>
          <w:szCs w:val="36"/>
          <w:u w:val="single"/>
        </w:rPr>
        <w:t>水產養殖系</w:t>
      </w:r>
      <w:r w:rsidRPr="00F51F64">
        <w:rPr>
          <w:rFonts w:ascii="標楷體" w:eastAsia="標楷體" w:hint="eastAsia"/>
          <w:sz w:val="36"/>
          <w:szCs w:val="36"/>
        </w:rPr>
        <w:t xml:space="preserve">　碩士班課程規劃表</w:t>
      </w:r>
      <w:r w:rsidRPr="00F51F64">
        <w:rPr>
          <w:rFonts w:eastAsia="標楷體"/>
          <w:sz w:val="36"/>
          <w:szCs w:val="36"/>
        </w:rPr>
        <w:t>(</w:t>
      </w:r>
      <w:r w:rsidR="000B0237" w:rsidRPr="00F51F64">
        <w:rPr>
          <w:rFonts w:eastAsia="標楷體" w:hint="eastAsia"/>
          <w:sz w:val="36"/>
          <w:szCs w:val="36"/>
        </w:rPr>
        <w:t>1</w:t>
      </w:r>
      <w:r w:rsidR="00D64C92" w:rsidRPr="00F51F64">
        <w:rPr>
          <w:rFonts w:eastAsia="標楷體" w:hint="eastAsia"/>
          <w:sz w:val="36"/>
          <w:szCs w:val="36"/>
        </w:rPr>
        <w:t>1</w:t>
      </w:r>
      <w:r w:rsidR="000B55E1" w:rsidRPr="00F51F64">
        <w:rPr>
          <w:rFonts w:eastAsia="標楷體" w:hint="eastAsia"/>
          <w:sz w:val="36"/>
          <w:szCs w:val="36"/>
        </w:rPr>
        <w:t>1</w:t>
      </w:r>
      <w:r w:rsidRPr="00F51F64">
        <w:rPr>
          <w:rFonts w:eastAsia="標楷體"/>
          <w:sz w:val="36"/>
          <w:szCs w:val="36"/>
        </w:rPr>
        <w:t>學年度入學</w:t>
      </w:r>
      <w:r w:rsidRPr="00F51F64">
        <w:rPr>
          <w:rFonts w:eastAsia="標楷體"/>
          <w:sz w:val="36"/>
          <w:szCs w:val="36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學分總計</w:t>
            </w:r>
          </w:p>
        </w:tc>
      </w:tr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修別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323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7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10</w:t>
            </w: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國際漁業合作專論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餌料生物培養技術專論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養殖環境管理與永續利用專論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生物安全繁養殖專論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水產生物技術應用專論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甲殼類生理學專論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/>
              </w:rPr>
              <w:t>海洋生態</w:t>
            </w:r>
            <w:r w:rsidRPr="00F51F64">
              <w:rPr>
                <w:rFonts w:eastAsia="標楷體" w:hint="eastAsia"/>
              </w:rPr>
              <w:t>專</w:t>
            </w:r>
            <w:r w:rsidRPr="00F51F64">
              <w:rPr>
                <w:rFonts w:eastAsia="標楷體"/>
              </w:rPr>
              <w:t>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細胞與分子營養學專論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藻類產業應用專論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淡水藻類專論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1F64">
              <w:rPr>
                <w:rFonts w:ascii="標楷體" w:eastAsia="標楷體" w:hAnsi="標楷體" w:hint="eastAsia"/>
              </w:rPr>
              <w:t>科技論文寫作專論</w:t>
            </w:r>
          </w:p>
          <w:p w:rsidR="00D64C92" w:rsidRPr="00575696" w:rsidRDefault="00D64C92" w:rsidP="00A34CC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1F64">
              <w:rPr>
                <w:rFonts w:ascii="標楷體" w:eastAsia="標楷體" w:hAnsi="標楷體" w:hint="eastAsia"/>
              </w:rPr>
              <w:t>魚類營養研究方法專論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22319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30409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55183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30515</w:t>
            </w:r>
          </w:p>
          <w:p w:rsidR="00BF5F49" w:rsidRPr="00F51F64" w:rsidRDefault="00BF5F49" w:rsidP="00BF5F4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23461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D64C92" w:rsidRPr="00F51F64" w:rsidRDefault="00D64C92" w:rsidP="00575696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水產資源保育與開發專論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藻類繁養殖專論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魚類多樣性專論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藻類生理生態專論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魚類生殖生理</w:t>
            </w:r>
            <w:r w:rsidRPr="00F51F64">
              <w:rPr>
                <w:rFonts w:eastAsia="標楷體" w:hint="eastAsia"/>
              </w:rPr>
              <w:t>學</w:t>
            </w:r>
            <w:r w:rsidRPr="00F51F64">
              <w:rPr>
                <w:rFonts w:eastAsia="標楷體"/>
              </w:rPr>
              <w:t>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水產養殖文獻選讀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分子生物學專論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脂類營養學專論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水產生物分子育種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30276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40092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55194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</w:pPr>
            <w:r w:rsidRPr="00F51F64">
              <w:rPr>
                <w:rFonts w:eastAsia="標楷體"/>
              </w:rPr>
              <w:t>22110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實驗設計與生統分析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實驗設計與生統分析實習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養殖經濟與經營管理專論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水產藥理學專論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水族內分泌學專論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魚類繁養殖學專論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魚類分子系統分類學專論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機能性水產飼料專論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高經濟魚種營養與配方專論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30236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55193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F51F64">
              <w:rPr>
                <w:rFonts w:eastAsia="標楷體"/>
              </w:rPr>
              <w:t>30279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水產飼料配製專論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水族疾病診療專論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無脊椎動物免疫專論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水產物利用特論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經濟藻類學選讀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魚類生物學特論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觀賞魚養殖特論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40086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40923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40781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41098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335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C92" w:rsidRPr="00F51F64" w:rsidRDefault="00F51F64" w:rsidP="00D64C92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31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31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0/20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17/18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8</w:t>
            </w:r>
            <w:r w:rsidR="00575696">
              <w:rPr>
                <w:rFonts w:eastAsia="標楷體" w:hint="eastAsia"/>
              </w:rPr>
              <w:t>3</w:t>
            </w:r>
          </w:p>
        </w:tc>
      </w:tr>
    </w:tbl>
    <w:p w:rsidR="00B47A2C" w:rsidRDefault="00977ABF" w:rsidP="00977ABF">
      <w:pPr>
        <w:spacing w:before="120"/>
      </w:pPr>
      <w:r w:rsidRPr="00F51F64">
        <w:rPr>
          <w:rFonts w:eastAsia="標楷體" w:hAnsi="標楷體"/>
        </w:rPr>
        <w:t>註：本系學生至少應修滿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30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學分始得畢業</w:t>
      </w:r>
      <w:r w:rsidRPr="00F51F64">
        <w:rPr>
          <w:rFonts w:eastAsia="標楷體"/>
        </w:rPr>
        <w:t>(</w:t>
      </w:r>
      <w:r w:rsidRPr="00F51F64">
        <w:rPr>
          <w:rFonts w:eastAsia="標楷體" w:hAnsi="標楷體"/>
        </w:rPr>
        <w:t>其中必修應修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10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學分，選修應修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20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</w:t>
      </w:r>
      <w:r w:rsidRPr="00F51F64">
        <w:rPr>
          <w:rFonts w:eastAsia="標楷體"/>
        </w:rPr>
        <w:t>)</w:t>
      </w:r>
    </w:p>
    <w:sectPr w:rsidR="00B47A2C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71" w:rsidRDefault="002C2371" w:rsidP="000B55E1">
      <w:r>
        <w:separator/>
      </w:r>
    </w:p>
  </w:endnote>
  <w:endnote w:type="continuationSeparator" w:id="0">
    <w:p w:rsidR="002C2371" w:rsidRDefault="002C2371" w:rsidP="000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71" w:rsidRDefault="002C2371" w:rsidP="000B55E1">
      <w:r>
        <w:separator/>
      </w:r>
    </w:p>
  </w:footnote>
  <w:footnote w:type="continuationSeparator" w:id="0">
    <w:p w:rsidR="002C2371" w:rsidRDefault="002C2371" w:rsidP="000B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BF"/>
    <w:rsid w:val="000B0237"/>
    <w:rsid w:val="000B55E1"/>
    <w:rsid w:val="002C2371"/>
    <w:rsid w:val="002C74F8"/>
    <w:rsid w:val="00384970"/>
    <w:rsid w:val="00575696"/>
    <w:rsid w:val="00896529"/>
    <w:rsid w:val="008D5193"/>
    <w:rsid w:val="00921937"/>
    <w:rsid w:val="00940978"/>
    <w:rsid w:val="00977ABF"/>
    <w:rsid w:val="00A34CCD"/>
    <w:rsid w:val="00AC56CE"/>
    <w:rsid w:val="00B47A2C"/>
    <w:rsid w:val="00BF5F49"/>
    <w:rsid w:val="00C2065F"/>
    <w:rsid w:val="00C94A09"/>
    <w:rsid w:val="00D64C92"/>
    <w:rsid w:val="00E5795F"/>
    <w:rsid w:val="00EF5844"/>
    <w:rsid w:val="00F51F64"/>
    <w:rsid w:val="00FC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76FD0-DD57-4749-95DC-D6E8AAC8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5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農學院水產養殖系曾美珍</cp:lastModifiedBy>
  <cp:revision>2</cp:revision>
  <dcterms:created xsi:type="dcterms:W3CDTF">2021-10-20T05:37:00Z</dcterms:created>
  <dcterms:modified xsi:type="dcterms:W3CDTF">2021-10-20T05:37:00Z</dcterms:modified>
</cp:coreProperties>
</file>